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1" w:rsidRPr="004A0082" w:rsidRDefault="004A0082" w:rsidP="004A0082">
      <w:pPr>
        <w:pStyle w:val="Corpotesto"/>
        <w:rPr>
          <w:rFonts w:ascii="Times New Roman" w:hAnsi="Times New Roman"/>
          <w:b/>
          <w:sz w:val="28"/>
          <w:szCs w:val="28"/>
          <w:u w:val="single"/>
        </w:rPr>
      </w:pPr>
      <w:r w:rsidRPr="004A0082">
        <w:rPr>
          <w:rFonts w:ascii="Times New Roman" w:hAnsi="Times New Roman"/>
          <w:b/>
          <w:sz w:val="28"/>
          <w:szCs w:val="28"/>
          <w:u w:val="single"/>
        </w:rPr>
        <w:t>ALLEGA</w:t>
      </w:r>
      <w:bookmarkStart w:id="0" w:name="_GoBack"/>
      <w:bookmarkEnd w:id="0"/>
      <w:r w:rsidRPr="004A0082">
        <w:rPr>
          <w:rFonts w:ascii="Times New Roman" w:hAnsi="Times New Roman"/>
          <w:b/>
          <w:sz w:val="28"/>
          <w:szCs w:val="28"/>
          <w:u w:val="single"/>
        </w:rPr>
        <w:t>TO 5</w:t>
      </w: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DICHIARAZIONE SOSTITUTIVA DI CERTIFICAZIONE E DELL’ATTO DI NOTORIETÀ</w:t>
      </w:r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(rilasciata ai sensi degli artt. </w:t>
      </w:r>
      <w:r w:rsidR="004827A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46,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47 e 48 del D.P.R. n. 445 del 28/12/2000)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Il sottoscritto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1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nato a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2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3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C.F.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4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residente in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5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qualità di legale rappresentante di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6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con sede legale in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7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C.F./P.IVA 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8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, consapevole delle sanzioni penali e civili, nel caso di dichiarazioni mendaci, di formazione o uso di atti falsi, richiamate dall’art. 76 del D.P.R. n. 445 del 28/12/2000, sotto la propria responsabilità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806D8" w:rsidRPr="002806D8" w:rsidRDefault="002806D8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dichiara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E45AD" w:rsidRPr="00FE45AD" w:rsidRDefault="004827AE" w:rsidP="00FE4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806D8">
        <w:rPr>
          <w:rFonts w:ascii="Times New Roman" w:hAnsi="Times New Roman"/>
          <w:sz w:val="22"/>
          <w:szCs w:val="22"/>
        </w:rPr>
        <w:t>ai sensi del D</w:t>
      </w:r>
      <w:r w:rsidR="00AB0FEE" w:rsidRPr="002806D8">
        <w:rPr>
          <w:rFonts w:ascii="Times New Roman" w:hAnsi="Times New Roman"/>
          <w:sz w:val="22"/>
          <w:szCs w:val="22"/>
        </w:rPr>
        <w:t xml:space="preserve">ecreto legislativo </w:t>
      </w:r>
      <w:r w:rsidR="00FE45AD" w:rsidRPr="002806D8">
        <w:rPr>
          <w:rFonts w:ascii="Times New Roman" w:hAnsi="Times New Roman"/>
          <w:sz w:val="22"/>
          <w:szCs w:val="22"/>
        </w:rPr>
        <w:t>6 settembre 2011  n. 159</w:t>
      </w:r>
      <w:r w:rsidR="00AB0FEE" w:rsidRPr="002806D8">
        <w:rPr>
          <w:rFonts w:ascii="Times New Roman" w:hAnsi="Times New Roman"/>
          <w:sz w:val="22"/>
          <w:szCs w:val="22"/>
        </w:rPr>
        <w:t xml:space="preserve"> e </w:t>
      </w:r>
      <w:proofErr w:type="spellStart"/>
      <w:r w:rsidR="00AB0FEE" w:rsidRPr="002806D8">
        <w:rPr>
          <w:rFonts w:ascii="Times New Roman" w:hAnsi="Times New Roman"/>
          <w:sz w:val="22"/>
          <w:szCs w:val="22"/>
        </w:rPr>
        <w:t>s.m.i.</w:t>
      </w:r>
      <w:proofErr w:type="spellEnd"/>
      <w:r w:rsidR="00AB0FEE" w:rsidRPr="002806D8">
        <w:rPr>
          <w:rFonts w:ascii="Times New Roman" w:hAnsi="Times New Roman"/>
          <w:sz w:val="22"/>
          <w:szCs w:val="22"/>
        </w:rPr>
        <w:t xml:space="preserve"> “</w:t>
      </w:r>
      <w:r w:rsidR="00AB0FEE" w:rsidRPr="002806D8">
        <w:rPr>
          <w:rFonts w:ascii="Times New Roman" w:hAnsi="Times New Roman"/>
          <w:i/>
          <w:sz w:val="22"/>
          <w:szCs w:val="22"/>
        </w:rPr>
        <w:t>Codice delle leggi antimafia e delle misure di prevenzione, nonché nuove disposizioni in materia di documentazione antimafia, a norma degli articoli 1 e 2 della legge 13 agosto 2010, n. 136</w:t>
      </w:r>
      <w:r w:rsidR="00AB0FEE" w:rsidRPr="002806D8">
        <w:rPr>
          <w:rFonts w:ascii="Times New Roman" w:hAnsi="Times New Roman"/>
          <w:sz w:val="22"/>
          <w:szCs w:val="22"/>
        </w:rPr>
        <w:t>”,</w:t>
      </w:r>
      <w:r w:rsidR="00AB0FEE">
        <w:rPr>
          <w:rFonts w:ascii="Times New Roman" w:hAnsi="Times New Roman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che </w:t>
      </w:r>
      <w:r w:rsidR="00081091"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nei confronti </w:t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 ognuno dei seguenti soggetti</w:t>
      </w:r>
      <w:r w:rsidR="00E12C7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1"/>
      </w:r>
      <w:r w:rsidR="007A64E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2"/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CB6C4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non sussistono le cause di divieto, di decadenza o di sospensione </w:t>
      </w:r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 cui all’art. 67 del 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predetto</w:t>
      </w:r>
      <w:r w:rsidR="00AB0F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>D.Lgs.</w:t>
      </w:r>
      <w:proofErr w:type="spellEnd"/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n. </w:t>
      </w:r>
      <w:r w:rsidR="00FE45AD">
        <w:rPr>
          <w:rFonts w:ascii="Times New Roman" w:hAnsi="Times New Roman" w:cs="Times New Roman"/>
          <w:sz w:val="22"/>
          <w:szCs w:val="22"/>
        </w:rPr>
        <w:t>159/2011</w:t>
      </w:r>
      <w:r w:rsidR="002806D8">
        <w:rPr>
          <w:rFonts w:ascii="Times New Roman" w:hAnsi="Times New Roman" w:cs="Times New Roman"/>
          <w:sz w:val="22"/>
          <w:szCs w:val="22"/>
        </w:rPr>
        <w:t>:</w:t>
      </w:r>
      <w:r w:rsidR="00FE45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0FEE" w:rsidRPr="007D0C34" w:rsidRDefault="00AB0FEE" w:rsidP="00081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547"/>
        <w:gridCol w:w="2934"/>
        <w:gridCol w:w="2378"/>
      </w:tblGrid>
      <w:tr w:rsidR="00081091" w:rsidRPr="005B1F1F" w:rsidTr="00414882">
        <w:trPr>
          <w:trHeight w:val="481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CARICA</w:t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CODICE FISCALE</w:t>
            </w: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CB6C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A64E9" w:rsidRPr="005B1F1F" w:rsidTr="00A468D3">
        <w:trPr>
          <w:trHeight w:val="233"/>
        </w:trPr>
        <w:tc>
          <w:tcPr>
            <w:tcW w:w="2694" w:type="dxa"/>
            <w:shd w:val="clear" w:color="auto" w:fill="auto"/>
          </w:tcPr>
          <w:p w:rsidR="007A64E9" w:rsidRPr="005B1F1F" w:rsidRDefault="007A64E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A64E9" w:rsidRPr="005B1F1F" w:rsidRDefault="007A64E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A64E9" w:rsidRPr="005B1F1F" w:rsidRDefault="007A64E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7A64E9" w:rsidRPr="005B1F1F" w:rsidRDefault="007A64E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806D8" w:rsidRPr="002806D8" w:rsidRDefault="00FE45AD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</w:t>
      </w:r>
      <w:r w:rsidR="00AB0FEE"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ichiara</w:t>
      </w:r>
    </w:p>
    <w:p w:rsidR="002806D8" w:rsidRDefault="002806D8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B0FEE" w:rsidRDefault="00FE45AD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ai sensi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della Legge regionale 11 maggio 2018, n.16 che 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</w:t>
      </w:r>
      <w:r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soggetti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sopra indicati</w:t>
      </w:r>
      <w:r w:rsidR="00D954FD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AB0FEE" w:rsidRDefault="00AB0FEE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a) un tempo superiore ad anni due di reclusione, sola o congiunta a pena pecuniaria, con effetti fino alla riabilitazione;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2806D8" w:rsidRPr="002806D8" w:rsidRDefault="00081091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lastRenderedPageBreak/>
        <w:t>Dichiara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D0C34">
        <w:rPr>
          <w:rFonts w:ascii="Times New Roman" w:hAnsi="Times New Roman" w:cs="Times New Roman"/>
          <w:sz w:val="22"/>
          <w:szCs w:val="22"/>
        </w:rPr>
        <w:t>- d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che la società (l’ente fornito di personalità giuridica, l’associazione anche priva di personalità giuridica </w:t>
      </w:r>
      <w:proofErr w:type="gram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richiedente)  non</w:t>
      </w:r>
      <w:proofErr w:type="gram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è stata condannata alla sanzione </w:t>
      </w:r>
      <w:proofErr w:type="spell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interdittiva</w:t>
      </w:r>
      <w:proofErr w:type="spell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di essere informato che, ai sensi e per gli effetti del Regolamento 2016/679/UE (General Data </w:t>
      </w:r>
      <w:proofErr w:type="spell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Protection</w:t>
      </w:r>
      <w:proofErr w:type="spell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Regulation</w:t>
      </w:r>
      <w:proofErr w:type="spell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E12C74">
        <w:rPr>
          <w:rStyle w:val="Rimandonotaapidipagina"/>
          <w:rFonts w:ascii="Times New Roman" w:eastAsia="Calibri" w:hAnsi="Times New Roman" w:cs="Times New Roman"/>
          <w:sz w:val="22"/>
          <w:szCs w:val="22"/>
          <w:lang w:eastAsia="en-US"/>
        </w:rPr>
        <w:footnoteReference w:id="3"/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Data </w:t>
      </w:r>
      <w:r w:rsidR="0051622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51622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51622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51622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9"/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        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Ai fini della validità della presente dichiarazione deve essere allegata la fotocopia, non autenticata, del documento di identità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corso di validità,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del sottoscrittore.</w:t>
      </w:r>
    </w:p>
    <w:p w:rsidR="009D1E48" w:rsidRDefault="009D1E4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</w:p>
    <w:p w:rsidR="006C31FC" w:rsidRPr="006C31FC" w:rsidRDefault="006C31FC" w:rsidP="006C31FC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6C31FC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lastRenderedPageBreak/>
        <w:t>NOTE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La comunicazione antimafia consiste nell’attestazione della sussistenza o meno di una delle cause di decadenza, di sospensione o di divieto di cui all’art. 67 del </w:t>
      </w:r>
      <w:proofErr w:type="spellStart"/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</w:t>
      </w:r>
      <w:proofErr w:type="spellEnd"/>
      <w:r w:rsidRPr="002806D8">
        <w:rPr>
          <w:rFonts w:ascii="Times New Roman" w:hAnsi="Times New Roman"/>
          <w:sz w:val="20"/>
          <w:szCs w:val="20"/>
        </w:rPr>
        <w:t xml:space="preserve"> 159/2011.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Cause ostative al rilascio della comunicazione antimafia (art. 67, commi 1 e 8 del </w:t>
      </w:r>
      <w:proofErr w:type="spellStart"/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</w:t>
      </w:r>
      <w:proofErr w:type="spellEnd"/>
      <w:r w:rsidRPr="002806D8">
        <w:rPr>
          <w:rFonts w:ascii="Times New Roman" w:hAnsi="Times New Roman"/>
          <w:sz w:val="20"/>
          <w:szCs w:val="20"/>
        </w:rPr>
        <w:t xml:space="preserve"> 159/2011) sono le seguenti: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Provvedimenti definitivi di applicazione delle misure di prevenzione di cui all’art. 5 del </w:t>
      </w:r>
      <w:proofErr w:type="spellStart"/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</w:t>
      </w:r>
      <w:proofErr w:type="spellEnd"/>
      <w:r w:rsidRPr="002806D8">
        <w:rPr>
          <w:rFonts w:ascii="Times New Roman" w:hAnsi="Times New Roman"/>
          <w:sz w:val="20"/>
          <w:szCs w:val="20"/>
        </w:rPr>
        <w:t xml:space="preserve"> 159/2011;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Condanne con sentenza definitiva o confermata in appello per taluno dei delitti consumati o tentati elencati all’ art.51, comma 3bis c.p.p. nonché per i reati di cui all’art. 640, comma 2, n. 1), c.p., commesso a danno dello Stato o di un altro Ente pubblico, e all’art. 640-bis c.p.</w:t>
      </w:r>
    </w:p>
    <w:p w:rsidR="009D1E48" w:rsidRPr="002806D8" w:rsidRDefault="009D1E4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Ai sensi dell’art. 85 del D. </w:t>
      </w:r>
      <w:proofErr w:type="spellStart"/>
      <w:r w:rsidRPr="002806D8">
        <w:rPr>
          <w:rFonts w:ascii="Times New Roman" w:hAnsi="Times New Roman"/>
          <w:sz w:val="20"/>
          <w:szCs w:val="20"/>
        </w:rPr>
        <w:t>Lgs</w:t>
      </w:r>
      <w:proofErr w:type="spellEnd"/>
      <w:r w:rsidRPr="002806D8">
        <w:rPr>
          <w:rFonts w:ascii="Times New Roman" w:hAnsi="Times New Roman"/>
          <w:sz w:val="20"/>
          <w:szCs w:val="20"/>
        </w:rPr>
        <w:t>. 159/2011 i soggetti sottoposti alla verifica antimafia</w:t>
      </w:r>
      <w:r w:rsidR="002806D8" w:rsidRPr="002806D8">
        <w:rPr>
          <w:rFonts w:ascii="Times New Roman" w:hAnsi="Times New Roman"/>
          <w:sz w:val="20"/>
          <w:szCs w:val="20"/>
        </w:rPr>
        <w:t xml:space="preserve"> sono i seguenti:</w:t>
      </w: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812"/>
      </w:tblGrid>
      <w:tr w:rsidR="009D1E48" w:rsidRPr="00B74A4A" w:rsidTr="007D0D6F">
        <w:trPr>
          <w:trHeight w:val="379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Imprese individuali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Titolare dell’impresa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</w:tc>
      </w:tr>
      <w:tr w:rsidR="009D1E48" w:rsidRPr="00B74A4A" w:rsidTr="007D0D6F">
        <w:trPr>
          <w:trHeight w:val="620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Associazioni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Legali rappresentanti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dei revisori dei conti o sindacale (se previsti)   ***</w:t>
            </w:r>
          </w:p>
        </w:tc>
      </w:tr>
      <w:tr w:rsidR="009D1E48" w:rsidRPr="00B74A4A" w:rsidTr="007D0D6F">
        <w:trPr>
          <w:trHeight w:val="1586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di capitali o cooperative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Legale rappresentante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Amministratori (presidente del </w:t>
            </w:r>
            <w:proofErr w:type="spellStart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CdA</w:t>
            </w:r>
            <w:proofErr w:type="spellEnd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/amministratore delegato, consiglieri) **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Socio di maggioranza (nelle società con un numero di soci pari o inferiore a 4)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Socio (in caso di società unipersonale)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D.lgs</w:t>
            </w:r>
            <w:proofErr w:type="spellEnd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231/2001;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semplice e in nome collettivo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Tutti i soci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in accomandita semplice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Soci accomandatari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2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con sede secondaria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le rappresentano stabilmente in Italia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prive di sede secondaria con rappresentanza stabile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esercitano poteri di amministrazione (presidente del </w:t>
            </w:r>
            <w:proofErr w:type="spellStart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CdA</w:t>
            </w:r>
            <w:proofErr w:type="spellEnd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/ amministratore delegato, consiglieri), di rappresentanza o di direzione dell’impresa ** </w:t>
            </w:r>
          </w:p>
        </w:tc>
      </w:tr>
    </w:tbl>
    <w:p w:rsidR="009D1E48" w:rsidRPr="00B74A4A" w:rsidRDefault="009D1E48" w:rsidP="009D1E48">
      <w:pPr>
        <w:pStyle w:val="Paragrafoelenco"/>
        <w:jc w:val="both"/>
        <w:rPr>
          <w:rFonts w:ascii="Times New Roman" w:hAnsi="Times New Roman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Ulteriori controlli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: si precisa che i controlli antimafia sono effettuati anche sui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procuratori e sui procuratori speciali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(che, sulla base dei poteri conferitigli, siano legittimati a partecipare alle procedure di affidamento di appalti pubblici di cui al </w:t>
      </w:r>
      <w:proofErr w:type="spellStart"/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50/2016, a stipulare i relativi contratti in caso di aggiudicazione per i quali sia richiesta la documentazione antimafia e, comunque, più in generale, i procuratori che esercitano poteri che per la rilevanza sostanziale e lo spessore economico sono tali da impegnare sul piano decisionale e </w:t>
      </w:r>
      <w:proofErr w:type="spellStart"/>
      <w:r w:rsidRPr="00B74A4A">
        <w:rPr>
          <w:rFonts w:ascii="Times New Roman" w:hAnsi="Times New Roman" w:cs="Times New Roman"/>
          <w:color w:val="auto"/>
          <w:sz w:val="16"/>
          <w:szCs w:val="16"/>
        </w:rPr>
        <w:t>gestorio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la società determinandone in qualsiasi modo le scelte o gli indirizzi) nonché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, nei casi contemplati dall’art. art. 2477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c.c.,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al sindaco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, nonché ai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soggetti che svolgono i compiti di vigilanza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di cui all’art. 6, comma 1 , </w:t>
      </w:r>
      <w:proofErr w:type="spellStart"/>
      <w:r w:rsidRPr="00B74A4A">
        <w:rPr>
          <w:rFonts w:ascii="Times New Roman" w:hAnsi="Times New Roman" w:cs="Times New Roman"/>
          <w:color w:val="auto"/>
          <w:sz w:val="16"/>
          <w:szCs w:val="16"/>
        </w:rPr>
        <w:t>lett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. b) del </w:t>
      </w:r>
      <w:proofErr w:type="spell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D.Lgs.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8 giugno 2011, n. 231.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componenti del consiglio di amministrazione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si intendono: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residente del C.d.A., Amministratore Delegato, Consiglieri.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S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indaci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si intendono sia quelli effettivi che supplenti.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Procedimento di rilascio delle </w:t>
      </w:r>
      <w:r w:rsidR="002806D8">
        <w:rPr>
          <w:rFonts w:ascii="Times New Roman" w:hAnsi="Times New Roman" w:cs="Times New Roman"/>
          <w:b/>
          <w:bCs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antimafia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L’Ente Pubblico/Stazione Appaltante dovrà acquisire dalla società interessata la dichiarazione sostitutiva del certificato di iscrizione alla CCIAA redatta dal rappresentante legale della società e contenente tutti i componenti dell’attuale compagine societaria, ai sensi dell’art. 85 del </w:t>
      </w:r>
      <w:proofErr w:type="spellStart"/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159/2011.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Successivamente, l’Ente Pubblico/Stazione Appaltante provvederà a trasmettere la richiesta di </w:t>
      </w:r>
      <w:r w:rsidR="002806D8">
        <w:rPr>
          <w:rFonts w:ascii="Times New Roman" w:hAnsi="Times New Roman" w:cs="Times New Roman"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antimafia, corredata delle dichiarazioni sostitutive, a questa Prefettura che procederà alle verifiche di cui agli artt. 84 e ss. del </w:t>
      </w:r>
      <w:proofErr w:type="spellStart"/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n. 159/2011.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Concetto di “socio di maggioranza”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Per socio di maggioranza si intende “la persona fisica o giuridica che detiene la maggioranza relativa delle quote o azioni della società interessata”.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Nel caso di più soci (es. 3 o 4) con la medesima percentuale di quote o azioni del capitale sociale della società interessata, non è richiesta alcuna documentazione relativa al socio di maggioranza.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La documentazione dovrà, invece, essere prodotta, tuttavia, nel caso in cui 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due soci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(persone fisiche o giuridiche) della società interessata al rilascio della comunicazione o informazione antimafia siano ciascuno titolari di quote o azioni pari al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capitale sociale o nel caso in cui uno dei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tre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soci sia titolare del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delle quote o azioni.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Ciò in coerenza con l’art. 91, comma 5 del </w:t>
      </w:r>
      <w:proofErr w:type="spellStart"/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</w:t>
      </w:r>
      <w:proofErr w:type="spell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159/2011, la sentenza n. 4654 del 28/08/2012 del Consiglio di Stato Sez. V e la sentenza n. 24 del 06/11/2013 del Consiglio di Stato Adunanza Plenaria.</w:t>
      </w:r>
    </w:p>
    <w:sectPr w:rsidR="009D1E48" w:rsidRPr="00B74A4A" w:rsidSect="003952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EC" w:rsidRDefault="003A66EC" w:rsidP="00081091">
      <w:r>
        <w:separator/>
      </w:r>
    </w:p>
  </w:endnote>
  <w:endnote w:type="continuationSeparator" w:id="0">
    <w:p w:rsidR="003A66EC" w:rsidRDefault="003A66EC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EC" w:rsidRDefault="003A66EC" w:rsidP="00081091">
      <w:r>
        <w:separator/>
      </w:r>
    </w:p>
  </w:footnote>
  <w:footnote w:type="continuationSeparator" w:id="0">
    <w:p w:rsidR="003A66EC" w:rsidRDefault="003A66EC" w:rsidP="00081091">
      <w:r>
        <w:continuationSeparator/>
      </w:r>
    </w:p>
  </w:footnote>
  <w:footnote w:id="1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64E9">
        <w:rPr>
          <w:rFonts w:ascii="Times New Roman" w:hAnsi="Times New Roman"/>
          <w:sz w:val="18"/>
          <w:szCs w:val="18"/>
        </w:rPr>
        <w:t>Nell’elenco ricomprendere anche il dichiarante.</w:t>
      </w:r>
    </w:p>
  </w:footnote>
  <w:footnote w:id="2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 w:rsidRPr="007A64E9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7A64E9">
        <w:rPr>
          <w:rFonts w:ascii="Times New Roman" w:hAnsi="Times New Roman"/>
          <w:sz w:val="18"/>
          <w:szCs w:val="18"/>
        </w:rPr>
        <w:t xml:space="preserve"> Vedi tabella allegata</w:t>
      </w:r>
    </w:p>
  </w:footnote>
  <w:footnote w:id="3">
    <w:p w:rsidR="00E12C74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7A64E9" w:rsidRPr="007A64E9">
        <w:rPr>
          <w:rFonts w:ascii="Times New Roman" w:hAnsi="Times New Roman"/>
          <w:sz w:val="18"/>
          <w:szCs w:val="18"/>
        </w:rPr>
        <w:t xml:space="preserve">L’informativa generale privacy è pubblicata nella sezione “Privacy” del sito </w:t>
      </w:r>
      <w:proofErr w:type="gramStart"/>
      <w:r w:rsidR="007A64E9" w:rsidRPr="007A64E9">
        <w:rPr>
          <w:rFonts w:ascii="Times New Roman" w:hAnsi="Times New Roman"/>
          <w:sz w:val="18"/>
          <w:szCs w:val="18"/>
        </w:rPr>
        <w:t>www.regione.veneto.it ,</w:t>
      </w:r>
      <w:proofErr w:type="gramEnd"/>
      <w:r w:rsidR="007A64E9" w:rsidRPr="007A64E9">
        <w:rPr>
          <w:rFonts w:ascii="Times New Roman" w:hAnsi="Times New Roman"/>
          <w:sz w:val="18"/>
          <w:szCs w:val="18"/>
        </w:rPr>
        <w:t xml:space="preserve"> accessibile dal link in calce alla home page</w:t>
      </w:r>
    </w:p>
    <w:p w:rsidR="009D1E48" w:rsidRPr="007A64E9" w:rsidRDefault="009D1E48">
      <w:pPr>
        <w:pStyle w:val="Testonotaapidipagina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91"/>
    <w:rsid w:val="00055080"/>
    <w:rsid w:val="00081091"/>
    <w:rsid w:val="00132E7F"/>
    <w:rsid w:val="001964A8"/>
    <w:rsid w:val="002806D8"/>
    <w:rsid w:val="002C386E"/>
    <w:rsid w:val="002E5484"/>
    <w:rsid w:val="003952E2"/>
    <w:rsid w:val="003A66EC"/>
    <w:rsid w:val="003C3C37"/>
    <w:rsid w:val="00464CB6"/>
    <w:rsid w:val="004827AE"/>
    <w:rsid w:val="004A0082"/>
    <w:rsid w:val="00500B4C"/>
    <w:rsid w:val="0051622F"/>
    <w:rsid w:val="005D2E6B"/>
    <w:rsid w:val="00651230"/>
    <w:rsid w:val="00680905"/>
    <w:rsid w:val="006C31FC"/>
    <w:rsid w:val="0072448A"/>
    <w:rsid w:val="007A64E9"/>
    <w:rsid w:val="00826B62"/>
    <w:rsid w:val="00865522"/>
    <w:rsid w:val="008F7D89"/>
    <w:rsid w:val="009D1E48"/>
    <w:rsid w:val="00A07DEF"/>
    <w:rsid w:val="00AB0FEE"/>
    <w:rsid w:val="00B14D7D"/>
    <w:rsid w:val="00B21C26"/>
    <w:rsid w:val="00B46204"/>
    <w:rsid w:val="00C25B1A"/>
    <w:rsid w:val="00C471B3"/>
    <w:rsid w:val="00CA6C08"/>
    <w:rsid w:val="00CB6C4E"/>
    <w:rsid w:val="00CE43BA"/>
    <w:rsid w:val="00D12F53"/>
    <w:rsid w:val="00D15AED"/>
    <w:rsid w:val="00D504C7"/>
    <w:rsid w:val="00D67CEB"/>
    <w:rsid w:val="00D954FD"/>
    <w:rsid w:val="00DC4679"/>
    <w:rsid w:val="00DE06F7"/>
    <w:rsid w:val="00E12C74"/>
    <w:rsid w:val="00E27E6A"/>
    <w:rsid w:val="00EC4E04"/>
    <w:rsid w:val="00F545BC"/>
    <w:rsid w:val="00F87260"/>
    <w:rsid w:val="00F9699D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A314"/>
  <w15:docId w15:val="{92038F9B-58E0-4AF8-B0C7-A9154010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4BDE-3595-4164-AC36-9B3256A3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Marica Cuogo</cp:lastModifiedBy>
  <cp:revision>2</cp:revision>
  <cp:lastPrinted>2019-05-06T10:48:00Z</cp:lastPrinted>
  <dcterms:created xsi:type="dcterms:W3CDTF">2019-05-21T08:52:00Z</dcterms:created>
  <dcterms:modified xsi:type="dcterms:W3CDTF">2019-05-21T08:52:00Z</dcterms:modified>
</cp:coreProperties>
</file>